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CC6F66" w14:textId="77777777" w:rsidR="00394E70" w:rsidRPr="009B0141" w:rsidRDefault="00394E70">
      <w:pPr>
        <w:rPr>
          <w:rFonts w:ascii="Comic Sans MS" w:eastAsia="Comic Sans MS" w:hAnsi="Comic Sans MS" w:cs="Comic Sans MS"/>
          <w:sz w:val="16"/>
          <w:szCs w:val="16"/>
        </w:rPr>
      </w:pPr>
    </w:p>
    <w:p w14:paraId="5E61E319" w14:textId="77777777" w:rsidR="00394E70" w:rsidRPr="009B0141" w:rsidRDefault="00394E70">
      <w:pPr>
        <w:rPr>
          <w:rFonts w:ascii="Comic Sans MS" w:eastAsia="Comic Sans MS" w:hAnsi="Comic Sans MS" w:cs="Comic Sans MS"/>
          <w:color w:val="0070C0"/>
          <w:sz w:val="16"/>
          <w:szCs w:val="16"/>
        </w:rPr>
      </w:pPr>
    </w:p>
    <w:p w14:paraId="6C521A42" w14:textId="10DA49D8" w:rsidR="00394E70" w:rsidRPr="009B0141" w:rsidRDefault="00D17C6E">
      <w:pPr>
        <w:rPr>
          <w:rFonts w:ascii="Comic Sans MS" w:eastAsia="Comic Sans MS" w:hAnsi="Comic Sans MS" w:cs="Comic Sans MS"/>
          <w:b/>
          <w:sz w:val="16"/>
          <w:szCs w:val="16"/>
        </w:rPr>
      </w:pPr>
      <w:r w:rsidRPr="009B0141">
        <w:rPr>
          <w:rFonts w:ascii="Comic Sans MS" w:eastAsia="Comic Sans MS" w:hAnsi="Comic Sans MS" w:cs="Comic Sans MS"/>
          <w:b/>
          <w:color w:val="00000A"/>
          <w:sz w:val="16"/>
          <w:szCs w:val="16"/>
          <w:u w:val="single"/>
        </w:rPr>
        <w:t xml:space="preserve">Question  : Techniques et étude du matériel (5 points) </w:t>
      </w:r>
    </w:p>
    <w:p w14:paraId="24C65090" w14:textId="77777777" w:rsidR="00394E70" w:rsidRPr="009B0141" w:rsidRDefault="00394E70">
      <w:pPr>
        <w:rPr>
          <w:rFonts w:ascii="Comic Sans MS" w:eastAsia="Comic Sans MS" w:hAnsi="Comic Sans MS" w:cs="Comic Sans MS"/>
          <w:color w:val="FF0000"/>
          <w:sz w:val="16"/>
          <w:szCs w:val="16"/>
        </w:rPr>
      </w:pPr>
    </w:p>
    <w:p w14:paraId="670D5E15" w14:textId="77777777" w:rsidR="00394E70" w:rsidRPr="009B0141" w:rsidRDefault="00D17C6E">
      <w:pPr>
        <w:rPr>
          <w:rFonts w:ascii="Comic Sans MS" w:eastAsia="Comic Sans MS" w:hAnsi="Comic Sans MS" w:cs="Comic Sans MS"/>
          <w:sz w:val="16"/>
          <w:szCs w:val="16"/>
        </w:rPr>
      </w:pPr>
      <w:r w:rsidRPr="009B0141">
        <w:rPr>
          <w:rFonts w:ascii="Comic Sans MS" w:eastAsia="Comic Sans MS" w:hAnsi="Comic Sans MS" w:cs="Comic Sans MS"/>
          <w:sz w:val="16"/>
          <w:szCs w:val="16"/>
        </w:rPr>
        <w:t>Deux de vos stagiaires pédagogiques MF 1 sont en désaccord. Un élève GP a cherché à gonfler le gilet de son binôme avec son direct system alors que celui-ci avait fait le signe « je n’ai plus d’air ». Il estime cette réaction comme incohérente, car d’après lui, s’il n’y a plus d’air pour respirer, on ne peut pas gonfler le gilet.</w:t>
      </w:r>
    </w:p>
    <w:p w14:paraId="06DF2732" w14:textId="77777777" w:rsidR="00394E70" w:rsidRPr="009B0141" w:rsidRDefault="00D17C6E">
      <w:pPr>
        <w:rPr>
          <w:rFonts w:ascii="Comic Sans MS" w:eastAsia="Comic Sans MS" w:hAnsi="Comic Sans MS" w:cs="Comic Sans MS"/>
          <w:sz w:val="16"/>
          <w:szCs w:val="16"/>
        </w:rPr>
      </w:pPr>
      <w:r w:rsidRPr="009B0141">
        <w:rPr>
          <w:rFonts w:ascii="Comic Sans MS" w:eastAsia="Comic Sans MS" w:hAnsi="Comic Sans MS" w:cs="Comic Sans MS"/>
          <w:sz w:val="16"/>
          <w:szCs w:val="16"/>
        </w:rPr>
        <w:t>Le deuxième prétend au contraire que lorsqu’on ressent le manque d’air, il y en a encore suffisamment pour gonfler le gilet et donc le geste de l’élève GP n’est pas faux, cependant le remplissage du gilet sera d’après lui assez lent.</w:t>
      </w:r>
    </w:p>
    <w:p w14:paraId="39EF5B4B" w14:textId="77777777" w:rsidR="00394E70" w:rsidRPr="009B0141" w:rsidRDefault="00D17C6E">
      <w:pPr>
        <w:rPr>
          <w:rFonts w:ascii="Comic Sans MS" w:eastAsia="Comic Sans MS" w:hAnsi="Comic Sans MS" w:cs="Comic Sans MS"/>
          <w:sz w:val="16"/>
          <w:szCs w:val="16"/>
        </w:rPr>
      </w:pPr>
      <w:r w:rsidRPr="009B0141">
        <w:rPr>
          <w:rFonts w:ascii="Comic Sans MS" w:eastAsia="Comic Sans MS" w:hAnsi="Comic Sans MS" w:cs="Comic Sans MS"/>
          <w:sz w:val="16"/>
          <w:szCs w:val="16"/>
        </w:rPr>
        <w:t>Vous devez prendre parti et argumenter votre réponse en utilisant les données suivantes :</w:t>
      </w:r>
    </w:p>
    <w:p w14:paraId="48088727" w14:textId="50D36DD4" w:rsidR="00394E70" w:rsidRPr="009B0141" w:rsidRDefault="00D17C6E">
      <w:pPr>
        <w:rPr>
          <w:rFonts w:ascii="Comic Sans MS" w:eastAsia="Comic Sans MS" w:hAnsi="Comic Sans MS" w:cs="Comic Sans MS"/>
          <w:sz w:val="16"/>
          <w:szCs w:val="16"/>
        </w:rPr>
      </w:pPr>
      <w:r w:rsidRPr="009B0141">
        <w:rPr>
          <w:rFonts w:ascii="Comic Sans MS" w:eastAsia="Comic Sans MS" w:hAnsi="Comic Sans MS" w:cs="Comic Sans MS"/>
          <w:sz w:val="16"/>
          <w:szCs w:val="16"/>
        </w:rPr>
        <w:t>La plongée se déroule à 40 mètres. Le détendeur devient dur et le plongeur a la sensation de manquer d’air. Valeur du ressort de la MP  : 8 bar</w:t>
      </w:r>
      <w:r w:rsidR="007C2972" w:rsidRPr="009B0141">
        <w:rPr>
          <w:rFonts w:ascii="Comic Sans MS" w:eastAsia="Comic Sans MS" w:hAnsi="Comic Sans MS" w:cs="Comic Sans MS"/>
          <w:sz w:val="16"/>
          <w:szCs w:val="16"/>
        </w:rPr>
        <w:t>s</w:t>
      </w:r>
      <w:r w:rsidRPr="009B0141">
        <w:rPr>
          <w:rFonts w:ascii="Comic Sans MS" w:eastAsia="Comic Sans MS" w:hAnsi="Comic Sans MS" w:cs="Comic Sans MS"/>
          <w:sz w:val="16"/>
          <w:szCs w:val="16"/>
        </w:rPr>
        <w:t>. Détendeur compensé, inflateur également compensé. Le volume du gilet est de 20 l et le volume du bloc est de 15 l.</w:t>
      </w:r>
    </w:p>
    <w:p w14:paraId="0A35C7F3" w14:textId="77777777" w:rsidR="00394E70" w:rsidRPr="009B0141" w:rsidRDefault="00394E70">
      <w:pPr>
        <w:rPr>
          <w:rFonts w:ascii="Comic Sans MS" w:eastAsia="Comic Sans MS" w:hAnsi="Comic Sans MS" w:cs="Comic Sans MS"/>
          <w:sz w:val="16"/>
          <w:szCs w:val="16"/>
        </w:rPr>
      </w:pPr>
    </w:p>
    <w:p w14:paraId="4C447484" w14:textId="77777777" w:rsidR="00394E70" w:rsidRPr="009B0141" w:rsidRDefault="00D17C6E">
      <w:pPr>
        <w:numPr>
          <w:ilvl w:val="0"/>
          <w:numId w:val="6"/>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Le second stagiaire pédagogique a raison </w:t>
      </w:r>
      <w:r w:rsidRPr="009B0141">
        <w:rPr>
          <w:rFonts w:ascii="Comic Sans MS" w:eastAsia="Comic Sans MS" w:hAnsi="Comic Sans MS" w:cs="Comic Sans MS"/>
          <w:b/>
          <w:i/>
          <w:color w:val="0000FF"/>
          <w:sz w:val="16"/>
          <w:szCs w:val="16"/>
        </w:rPr>
        <w:t>(1 point)</w:t>
      </w:r>
      <w:r w:rsidRPr="009B0141">
        <w:rPr>
          <w:rFonts w:ascii="Comic Sans MS" w:eastAsia="Comic Sans MS" w:hAnsi="Comic Sans MS" w:cs="Comic Sans MS"/>
          <w:i/>
          <w:color w:val="0000FF"/>
          <w:sz w:val="16"/>
          <w:szCs w:val="16"/>
        </w:rPr>
        <w:t xml:space="preserve"> :</w:t>
      </w:r>
    </w:p>
    <w:p w14:paraId="7936D17A" w14:textId="77777777" w:rsidR="00394E70" w:rsidRPr="009B0141" w:rsidRDefault="00D17C6E" w:rsidP="00BC4650">
      <w:pPr>
        <w:numPr>
          <w:ilvl w:val="0"/>
          <w:numId w:val="9"/>
        </w:numPr>
        <w:pBdr>
          <w:top w:val="nil"/>
          <w:left w:val="nil"/>
          <w:bottom w:val="nil"/>
          <w:right w:val="nil"/>
          <w:between w:val="nil"/>
        </w:pBdr>
        <w:ind w:right="-143" w:hanging="152"/>
        <w:rPr>
          <w:i/>
          <w:sz w:val="16"/>
          <w:szCs w:val="16"/>
        </w:rPr>
      </w:pPr>
      <w:r w:rsidRPr="009B0141">
        <w:rPr>
          <w:rFonts w:ascii="Comic Sans MS" w:eastAsia="Comic Sans MS" w:hAnsi="Comic Sans MS" w:cs="Comic Sans MS"/>
          <w:i/>
          <w:color w:val="0000FF"/>
          <w:sz w:val="16"/>
          <w:szCs w:val="16"/>
        </w:rPr>
        <w:t xml:space="preserve">Si le détendeur devient dur, on a donc atteint la valeur de la moyenne pression nécessaire à alimenter le second étage soit 8 + 5 = 13 bar </w:t>
      </w:r>
    </w:p>
    <w:p w14:paraId="470F3A3E" w14:textId="77777777" w:rsidR="00394E70" w:rsidRPr="009B0141" w:rsidRDefault="00D17C6E">
      <w:pPr>
        <w:numPr>
          <w:ilvl w:val="0"/>
          <w:numId w:val="9"/>
        </w:numPr>
        <w:pBdr>
          <w:top w:val="nil"/>
          <w:left w:val="nil"/>
          <w:bottom w:val="nil"/>
          <w:right w:val="nil"/>
          <w:between w:val="nil"/>
        </w:pBdr>
        <w:ind w:hanging="152"/>
        <w:rPr>
          <w:i/>
          <w:sz w:val="16"/>
          <w:szCs w:val="16"/>
        </w:rPr>
      </w:pPr>
      <w:r w:rsidRPr="009B0141">
        <w:rPr>
          <w:rFonts w:ascii="Comic Sans MS" w:eastAsia="Comic Sans MS" w:hAnsi="Comic Sans MS" w:cs="Comic Sans MS"/>
          <w:i/>
          <w:color w:val="0000FF"/>
          <w:sz w:val="16"/>
          <w:szCs w:val="16"/>
        </w:rPr>
        <w:t xml:space="preserve">8 bar seulement sont utilisables pour gonfler le gilet puisqu’on est à 5 b de Pabs </w:t>
      </w:r>
      <w:r w:rsidRPr="009B0141">
        <w:rPr>
          <w:rFonts w:ascii="Comic Sans MS" w:eastAsia="Comic Sans MS" w:hAnsi="Comic Sans MS" w:cs="Comic Sans MS"/>
          <w:b/>
          <w:i/>
          <w:color w:val="0000FF"/>
          <w:sz w:val="16"/>
          <w:szCs w:val="16"/>
        </w:rPr>
        <w:t>(1,5 points)</w:t>
      </w:r>
    </w:p>
    <w:p w14:paraId="2E3A3F5B" w14:textId="77777777" w:rsidR="00394E70" w:rsidRPr="009B0141" w:rsidRDefault="00D17C6E">
      <w:pPr>
        <w:numPr>
          <w:ilvl w:val="0"/>
          <w:numId w:val="9"/>
        </w:numPr>
        <w:pBdr>
          <w:top w:val="nil"/>
          <w:left w:val="nil"/>
          <w:bottom w:val="nil"/>
          <w:right w:val="nil"/>
          <w:between w:val="nil"/>
        </w:pBdr>
        <w:ind w:hanging="152"/>
        <w:rPr>
          <w:i/>
          <w:sz w:val="16"/>
          <w:szCs w:val="16"/>
        </w:rPr>
      </w:pPr>
      <w:r w:rsidRPr="009B0141">
        <w:rPr>
          <w:rFonts w:ascii="Comic Sans MS" w:eastAsia="Comic Sans MS" w:hAnsi="Comic Sans MS" w:cs="Comic Sans MS"/>
          <w:i/>
          <w:color w:val="0000FF"/>
          <w:sz w:val="16"/>
          <w:szCs w:val="16"/>
        </w:rPr>
        <w:t>Volume disponible : 8 × 15 = 120 L</w:t>
      </w:r>
    </w:p>
    <w:p w14:paraId="0B9D4FF1" w14:textId="77777777" w:rsidR="00394E70" w:rsidRPr="009B0141" w:rsidRDefault="00D17C6E">
      <w:pPr>
        <w:numPr>
          <w:ilvl w:val="0"/>
          <w:numId w:val="9"/>
        </w:numPr>
        <w:pBdr>
          <w:top w:val="nil"/>
          <w:left w:val="nil"/>
          <w:bottom w:val="nil"/>
          <w:right w:val="nil"/>
          <w:between w:val="nil"/>
        </w:pBdr>
        <w:ind w:hanging="152"/>
        <w:rPr>
          <w:i/>
          <w:sz w:val="16"/>
          <w:szCs w:val="16"/>
        </w:rPr>
      </w:pPr>
      <w:r w:rsidRPr="009B0141">
        <w:rPr>
          <w:rFonts w:ascii="Comic Sans MS" w:eastAsia="Comic Sans MS" w:hAnsi="Comic Sans MS" w:cs="Comic Sans MS"/>
          <w:i/>
          <w:color w:val="0000FF"/>
          <w:sz w:val="16"/>
          <w:szCs w:val="16"/>
        </w:rPr>
        <w:t xml:space="preserve">Volume d’air à 1 b pour remplir le gilet : 20 × 5 = 100 L. </w:t>
      </w:r>
    </w:p>
    <w:p w14:paraId="2D1087C6" w14:textId="77777777" w:rsidR="00394E70" w:rsidRPr="009B0141" w:rsidRDefault="00D17C6E">
      <w:pPr>
        <w:numPr>
          <w:ilvl w:val="0"/>
          <w:numId w:val="9"/>
        </w:numPr>
        <w:pBdr>
          <w:top w:val="nil"/>
          <w:left w:val="nil"/>
          <w:bottom w:val="nil"/>
          <w:right w:val="nil"/>
          <w:between w:val="nil"/>
        </w:pBdr>
        <w:ind w:hanging="152"/>
        <w:rPr>
          <w:i/>
          <w:sz w:val="16"/>
          <w:szCs w:val="16"/>
        </w:rPr>
      </w:pPr>
      <w:r w:rsidRPr="009B0141">
        <w:rPr>
          <w:rFonts w:ascii="Comic Sans MS" w:eastAsia="Comic Sans MS" w:hAnsi="Comic Sans MS" w:cs="Comic Sans MS"/>
          <w:i/>
          <w:color w:val="0000FF"/>
          <w:sz w:val="16"/>
          <w:szCs w:val="16"/>
        </w:rPr>
        <w:t>C’est donc possible... d’autant plus que, à moins d’être vraiment trop lourdement lesté, il n’est pas nécessaire de remplir totalement le gilet pour pouvoir décoller.</w:t>
      </w:r>
      <w:r w:rsidRPr="009B0141">
        <w:rPr>
          <w:rFonts w:ascii="Comic Sans MS" w:eastAsia="Comic Sans MS" w:hAnsi="Comic Sans MS" w:cs="Comic Sans MS"/>
          <w:b/>
          <w:i/>
          <w:color w:val="0000FF"/>
          <w:sz w:val="16"/>
          <w:szCs w:val="16"/>
        </w:rPr>
        <w:t xml:space="preserve"> (1,5 points)</w:t>
      </w:r>
    </w:p>
    <w:p w14:paraId="6E358BBF" w14:textId="77777777" w:rsidR="00394E70" w:rsidRPr="009B0141" w:rsidRDefault="00D17C6E">
      <w:pPr>
        <w:numPr>
          <w:ilvl w:val="0"/>
          <w:numId w:val="9"/>
        </w:numPr>
        <w:pBdr>
          <w:top w:val="nil"/>
          <w:left w:val="nil"/>
          <w:bottom w:val="nil"/>
          <w:right w:val="nil"/>
          <w:between w:val="nil"/>
        </w:pBdr>
        <w:ind w:hanging="152"/>
        <w:rPr>
          <w:b/>
          <w:i/>
          <w:sz w:val="16"/>
          <w:szCs w:val="16"/>
        </w:rPr>
      </w:pPr>
      <w:r w:rsidRPr="009B0141">
        <w:rPr>
          <w:rFonts w:ascii="Comic Sans MS" w:eastAsia="Comic Sans MS" w:hAnsi="Comic Sans MS" w:cs="Comic Sans MS"/>
          <w:i/>
          <w:color w:val="0000FF"/>
          <w:sz w:val="16"/>
          <w:szCs w:val="16"/>
        </w:rPr>
        <w:t>Sa seconde affirmation est également vraie car le débit est directement fonction de la différence de pression entre les deux compartiments. La faible pression dans le bloc induit donc un faible débit.</w:t>
      </w:r>
      <w:r w:rsidRPr="009B0141">
        <w:rPr>
          <w:rFonts w:ascii="Comic Sans MS" w:eastAsia="Comic Sans MS" w:hAnsi="Comic Sans MS" w:cs="Comic Sans MS"/>
          <w:b/>
          <w:i/>
          <w:color w:val="0000FF"/>
          <w:sz w:val="16"/>
          <w:szCs w:val="16"/>
        </w:rPr>
        <w:t xml:space="preserve"> (1 point)</w:t>
      </w:r>
    </w:p>
    <w:p w14:paraId="173F0FE8" w14:textId="77777777" w:rsidR="00394E70" w:rsidRPr="002A4BE4" w:rsidRDefault="00394E70">
      <w:pPr>
        <w:rPr>
          <w:rFonts w:ascii="Comic Sans MS" w:eastAsia="Comic Sans MS" w:hAnsi="Comic Sans MS" w:cs="Comic Sans MS"/>
          <w:bCs/>
          <w:iCs/>
          <w:color w:val="0000FF"/>
          <w:sz w:val="16"/>
          <w:szCs w:val="16"/>
        </w:rPr>
      </w:pPr>
    </w:p>
    <w:p w14:paraId="6951F1F3" w14:textId="77777777" w:rsidR="00394E70" w:rsidRPr="009B0141" w:rsidRDefault="00D17C6E">
      <w:pPr>
        <w:numPr>
          <w:ilvl w:val="0"/>
          <w:numId w:val="6"/>
        </w:numPr>
        <w:pBdr>
          <w:top w:val="nil"/>
          <w:left w:val="nil"/>
          <w:bottom w:val="nil"/>
          <w:right w:val="nil"/>
          <w:between w:val="nil"/>
        </w:pBdr>
        <w:ind w:left="567" w:hanging="141"/>
        <w:rPr>
          <w:i/>
          <w:color w:val="0000FF"/>
          <w:sz w:val="16"/>
          <w:szCs w:val="16"/>
        </w:rPr>
      </w:pPr>
      <w:r w:rsidRPr="009B0141">
        <w:rPr>
          <w:rFonts w:ascii="Comic Sans MS" w:eastAsia="Comic Sans MS" w:hAnsi="Comic Sans MS" w:cs="Comic Sans MS"/>
          <w:i/>
          <w:color w:val="0000FF"/>
          <w:sz w:val="16"/>
          <w:szCs w:val="16"/>
        </w:rPr>
        <w:t xml:space="preserve">Remarques (hors correction) : </w:t>
      </w:r>
    </w:p>
    <w:p w14:paraId="07BBD9BD"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Le 2</w:t>
      </w:r>
      <w:r w:rsidRPr="009B0141">
        <w:rPr>
          <w:rFonts w:ascii="Comic Sans MS" w:eastAsia="Comic Sans MS" w:hAnsi="Comic Sans MS" w:cs="Comic Sans MS"/>
          <w:i/>
          <w:color w:val="0000FF"/>
          <w:sz w:val="16"/>
          <w:szCs w:val="16"/>
          <w:vertAlign w:val="superscript"/>
        </w:rPr>
        <w:t>è</w:t>
      </w:r>
      <w:r w:rsidRPr="009B0141">
        <w:rPr>
          <w:rFonts w:ascii="Comic Sans MS" w:eastAsia="Comic Sans MS" w:hAnsi="Comic Sans MS" w:cs="Comic Sans MS"/>
          <w:i/>
          <w:color w:val="0000FF"/>
          <w:sz w:val="16"/>
          <w:szCs w:val="16"/>
        </w:rPr>
        <w:t xml:space="preserve"> stagiaire pédagogique pourrait étayer son point de vue en ajoutant que le manque d’air au 2</w:t>
      </w:r>
      <w:r w:rsidRPr="009B0141">
        <w:rPr>
          <w:rFonts w:ascii="Comic Sans MS" w:eastAsia="Comic Sans MS" w:hAnsi="Comic Sans MS" w:cs="Comic Sans MS"/>
          <w:i/>
          <w:color w:val="0000FF"/>
          <w:sz w:val="16"/>
          <w:szCs w:val="16"/>
          <w:vertAlign w:val="superscript"/>
        </w:rPr>
        <w:t>nd</w:t>
      </w:r>
      <w:r w:rsidRPr="009B0141">
        <w:rPr>
          <w:rFonts w:ascii="Comic Sans MS" w:eastAsia="Comic Sans MS" w:hAnsi="Comic Sans MS" w:cs="Comic Sans MS"/>
          <w:i/>
          <w:color w:val="0000FF"/>
          <w:sz w:val="16"/>
          <w:szCs w:val="16"/>
        </w:rPr>
        <w:t xml:space="preserve"> étage peut également, même si ce n’est pas le cas le plus probable, venir d’une défaillance du 2</w:t>
      </w:r>
      <w:r w:rsidRPr="009B0141">
        <w:rPr>
          <w:rFonts w:ascii="Comic Sans MS" w:eastAsia="Comic Sans MS" w:hAnsi="Comic Sans MS" w:cs="Comic Sans MS"/>
          <w:i/>
          <w:color w:val="0000FF"/>
          <w:sz w:val="16"/>
          <w:szCs w:val="16"/>
          <w:vertAlign w:val="superscript"/>
        </w:rPr>
        <w:t>nd</w:t>
      </w:r>
      <w:r w:rsidRPr="009B0141">
        <w:rPr>
          <w:rFonts w:ascii="Comic Sans MS" w:eastAsia="Comic Sans MS" w:hAnsi="Comic Sans MS" w:cs="Comic Sans MS"/>
          <w:i/>
          <w:color w:val="0000FF"/>
          <w:sz w:val="16"/>
          <w:szCs w:val="16"/>
        </w:rPr>
        <w:t xml:space="preserve"> étage. Il n’est donc pas illogique que, face à un signe de panne d’air, la personne qui porte assistance puisse chercher à gonfler la stab au cas où cela fonctionne. En cas d’échec elle devra alors trouver une autre solution pour faciliter la remontée (ex. : gonfler sa propre stab).</w:t>
      </w:r>
    </w:p>
    <w:p w14:paraId="7739C880" w14:textId="09A88F0A" w:rsidR="00394E70" w:rsidRPr="002A4BE4" w:rsidRDefault="00D17C6E" w:rsidP="002A4BE4">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Il est important que l’assisté soit passé sur l’octopus du GP avant que celui-ci ne gonfle le gilet de l’assisté. En effet, en gonflant le gilet de l’assisté, la plus grande partie du débit d’air ira vers le gilet, au détriment du détendeur.</w:t>
      </w:r>
    </w:p>
    <w:sectPr w:rsidR="00394E70" w:rsidRPr="002A4BE4">
      <w:headerReference w:type="even" r:id="rId7"/>
      <w:headerReference w:type="default" r:id="rId8"/>
      <w:footerReference w:type="even" r:id="rId9"/>
      <w:footerReference w:type="default" r:id="rId10"/>
      <w:headerReference w:type="first" r:id="rId11"/>
      <w:footerReference w:type="first" r:id="rId12"/>
      <w:pgSz w:w="11906" w:h="16838"/>
      <w:pgMar w:top="680" w:right="567" w:bottom="908"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7CD0A" w14:textId="77777777" w:rsidR="00C36F31" w:rsidRDefault="00C36F31">
      <w:r>
        <w:separator/>
      </w:r>
    </w:p>
  </w:endnote>
  <w:endnote w:type="continuationSeparator" w:id="0">
    <w:p w14:paraId="05336415" w14:textId="77777777" w:rsidR="00C36F31" w:rsidRDefault="00C3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0C69" w14:textId="77777777" w:rsidR="00394E70" w:rsidRDefault="00394E7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44DAD" w14:textId="77777777" w:rsidR="00394E70" w:rsidRDefault="00D17C6E">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5058BDF9" wp14:editId="777CCAFA">
              <wp:simplePos x="0" y="0"/>
              <wp:positionH relativeFrom="column">
                <wp:posOffset>3378200</wp:posOffset>
              </wp:positionH>
              <wp:positionV relativeFrom="paragraph">
                <wp:posOffset>0</wp:posOffset>
              </wp:positionV>
              <wp:extent cx="64770" cy="12446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8640" y="3722760"/>
                        <a:ext cx="54720" cy="114480"/>
                      </a:xfrm>
                      <a:prstGeom prst="rect">
                        <a:avLst/>
                      </a:prstGeom>
                      <a:solidFill>
                        <a:srgbClr val="FFFFFF"/>
                      </a:solidFill>
                      <a:ln>
                        <a:noFill/>
                      </a:ln>
                    </wps:spPr>
                    <wps:txbx>
                      <w:txbxContent>
                        <w:p w14:paraId="7A40D572" w14:textId="77777777" w:rsidR="00394E70" w:rsidRDefault="00D17C6E">
                          <w:pPr>
                            <w:textDirection w:val="btLr"/>
                          </w:pPr>
                          <w:r>
                            <w:rPr>
                              <w:color w:val="000000"/>
                              <w:sz w:val="16"/>
                            </w:rPr>
                            <w:t>PAGE6</w:t>
                          </w:r>
                        </w:p>
                      </w:txbxContent>
                    </wps:txbx>
                    <wps:bodyPr spcFirstLastPara="1" wrap="square" lIns="3225" tIns="3225" rIns="3225" bIns="32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4770" cy="12446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4770" cy="124460"/>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3ABE" w14:textId="77777777" w:rsidR="00394E70" w:rsidRDefault="00394E70">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ED99F" w14:textId="77777777" w:rsidR="00C36F31" w:rsidRDefault="00C36F31">
      <w:r>
        <w:separator/>
      </w:r>
    </w:p>
  </w:footnote>
  <w:footnote w:type="continuationSeparator" w:id="0">
    <w:p w14:paraId="322798F8" w14:textId="77777777" w:rsidR="00C36F31" w:rsidRDefault="00C36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A781"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8827" w14:textId="77777777" w:rsidR="00394E70" w:rsidRDefault="00394E70">
    <w:pPr>
      <w:widowControl w:val="0"/>
      <w:pBdr>
        <w:top w:val="nil"/>
        <w:left w:val="nil"/>
        <w:bottom w:val="nil"/>
        <w:right w:val="nil"/>
        <w:between w:val="nil"/>
      </w:pBdr>
      <w:spacing w:line="276" w:lineRule="auto"/>
      <w:rPr>
        <w:rFonts w:ascii="Comic Sans MS" w:eastAsia="Comic Sans MS" w:hAnsi="Comic Sans MS" w:cs="Comic Sans MS"/>
        <w:i/>
        <w:color w:val="000000"/>
      </w:rPr>
    </w:pPr>
  </w:p>
  <w:tbl>
    <w:tblPr>
      <w:tblStyle w:val="a0"/>
      <w:tblW w:w="9264" w:type="dxa"/>
      <w:tblInd w:w="0" w:type="dxa"/>
      <w:tblLayout w:type="fixed"/>
      <w:tblLook w:val="0000" w:firstRow="0" w:lastRow="0" w:firstColumn="0" w:lastColumn="0" w:noHBand="0" w:noVBand="0"/>
    </w:tblPr>
    <w:tblGrid>
      <w:gridCol w:w="4218"/>
      <w:gridCol w:w="5046"/>
    </w:tblGrid>
    <w:tr w:rsidR="00394E70" w14:paraId="5DCDAEDF" w14:textId="77777777">
      <w:tc>
        <w:tcPr>
          <w:tcW w:w="4218" w:type="dxa"/>
          <w:shd w:val="clear" w:color="auto" w:fill="auto"/>
        </w:tcPr>
        <w:p w14:paraId="7AE42518" w14:textId="77777777" w:rsidR="00394E70" w:rsidRDefault="00D17C6E">
          <w:pPr>
            <w:pBdr>
              <w:top w:val="nil"/>
              <w:left w:val="nil"/>
              <w:bottom w:val="nil"/>
              <w:right w:val="nil"/>
              <w:between w:val="nil"/>
            </w:pBdr>
            <w:tabs>
              <w:tab w:val="center" w:pos="4536"/>
              <w:tab w:val="right" w:pos="9072"/>
            </w:tabs>
            <w:rPr>
              <w:rFonts w:ascii="Comic Sans MS" w:eastAsia="Comic Sans MS" w:hAnsi="Comic Sans MS" w:cs="Comic Sans MS"/>
              <w:b/>
              <w:color w:val="000000"/>
              <w:sz w:val="18"/>
              <w:szCs w:val="18"/>
            </w:rPr>
          </w:pPr>
          <w:r>
            <w:rPr>
              <w:noProof/>
              <w:color w:val="000000"/>
              <w:sz w:val="16"/>
              <w:szCs w:val="16"/>
            </w:rPr>
            <w:drawing>
              <wp:inline distT="0" distB="0" distL="0" distR="0" wp14:anchorId="0905ED23" wp14:editId="4367062C">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6" w:type="dxa"/>
          <w:shd w:val="clear" w:color="auto" w:fill="auto"/>
        </w:tcPr>
        <w:p w14:paraId="1D6FFD43" w14:textId="77777777" w:rsidR="00394E70" w:rsidRDefault="00394E7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b/>
              <w:color w:val="000000"/>
              <w:sz w:val="18"/>
              <w:szCs w:val="18"/>
            </w:rPr>
          </w:pPr>
        </w:p>
        <w:p w14:paraId="6C53AA69" w14:textId="77777777" w:rsidR="00394E70" w:rsidRDefault="00D17C6E">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60BD6B63" w14:textId="2BAA845E" w:rsidR="00394E70" w:rsidRDefault="00394E70">
          <w:pPr>
            <w:pBdr>
              <w:top w:val="nil"/>
              <w:left w:val="nil"/>
              <w:bottom w:val="nil"/>
              <w:right w:val="nil"/>
              <w:between w:val="nil"/>
            </w:pBdr>
            <w:tabs>
              <w:tab w:val="center" w:pos="4536"/>
              <w:tab w:val="right" w:pos="9072"/>
            </w:tabs>
            <w:jc w:val="center"/>
            <w:rPr>
              <w:color w:val="000000"/>
              <w:sz w:val="16"/>
              <w:szCs w:val="16"/>
            </w:rPr>
          </w:pPr>
        </w:p>
      </w:tc>
    </w:tr>
  </w:tbl>
  <w:p w14:paraId="36BA8F28"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9164"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ED7"/>
    <w:multiLevelType w:val="multilevel"/>
    <w:tmpl w:val="9DC4DE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FD6039"/>
    <w:multiLevelType w:val="multilevel"/>
    <w:tmpl w:val="5D5AD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1C6B55"/>
    <w:multiLevelType w:val="multilevel"/>
    <w:tmpl w:val="C5A61F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8612CA"/>
    <w:multiLevelType w:val="multilevel"/>
    <w:tmpl w:val="E260FAB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129A6472"/>
    <w:multiLevelType w:val="multilevel"/>
    <w:tmpl w:val="6A9C68E8"/>
    <w:lvl w:ilvl="0">
      <w:start w:val="1"/>
      <w:numFmt w:val="bullet"/>
      <w:lvlText w:val="-"/>
      <w:lvlJc w:val="left"/>
      <w:pPr>
        <w:ind w:left="720" w:hanging="360"/>
      </w:pPr>
      <w:rPr>
        <w:rFonts w:ascii="Comic Sans MS" w:eastAsia="Comic Sans MS" w:hAnsi="Comic Sans MS" w:cs="Comic Sans M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04216C"/>
    <w:multiLevelType w:val="multilevel"/>
    <w:tmpl w:val="CDFCE80E"/>
    <w:lvl w:ilvl="0">
      <w:start w:val="1"/>
      <w:numFmt w:val="bullet"/>
      <w:lvlText w:val="-"/>
      <w:lvlJc w:val="left"/>
      <w:pPr>
        <w:ind w:left="720" w:hanging="360"/>
      </w:pPr>
      <w:rPr>
        <w:rFonts w:ascii="Comic Sans MS" w:eastAsia="Comic Sans MS" w:hAnsi="Comic Sans MS" w:cs="Comic Sans MS"/>
        <w:color w:val="0000FF"/>
        <w:sz w:val="20"/>
        <w:szCs w:val="20"/>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6" w15:restartNumberingAfterBreak="0">
    <w:nsid w:val="2C5916DE"/>
    <w:multiLevelType w:val="multilevel"/>
    <w:tmpl w:val="F27E95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F0584C"/>
    <w:multiLevelType w:val="multilevel"/>
    <w:tmpl w:val="68C6EE9A"/>
    <w:lvl w:ilvl="0">
      <w:start w:val="1"/>
      <w:numFmt w:val="bullet"/>
      <w:lvlText w:val="●"/>
      <w:lvlJc w:val="left"/>
      <w:pPr>
        <w:ind w:left="720" w:hanging="360"/>
      </w:pPr>
      <w:rPr>
        <w:rFonts w:ascii="Noto Sans Symbols" w:eastAsia="Noto Sans Symbols" w:hAnsi="Noto Sans Symbols" w:cs="Noto Sans Symbol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4C1135"/>
    <w:multiLevelType w:val="multilevel"/>
    <w:tmpl w:val="9E1AB5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1496C"/>
    <w:multiLevelType w:val="multilevel"/>
    <w:tmpl w:val="00308210"/>
    <w:lvl w:ilvl="0">
      <w:start w:val="1"/>
      <w:numFmt w:val="bullet"/>
      <w:lvlText w:val="-"/>
      <w:lvlJc w:val="left"/>
      <w:pPr>
        <w:ind w:left="720" w:hanging="360"/>
      </w:pPr>
      <w:rPr>
        <w:rFonts w:ascii="Comic Sans MS" w:eastAsia="Comic Sans MS" w:hAnsi="Comic Sans MS" w:cs="Comic Sans M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BDD51D2"/>
    <w:multiLevelType w:val="multilevel"/>
    <w:tmpl w:val="435A2042"/>
    <w:lvl w:ilvl="0">
      <w:start w:val="1"/>
      <w:numFmt w:val="bullet"/>
      <w:lvlText w:val="-"/>
      <w:lvlJc w:val="left"/>
      <w:pPr>
        <w:ind w:left="1146" w:hanging="360"/>
      </w:pPr>
      <w:rPr>
        <w:rFonts w:ascii="Comic Sans MS" w:eastAsia="Comic Sans MS" w:hAnsi="Comic Sans MS" w:cs="Comic Sans MS"/>
        <w:color w:val="0000FF"/>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1" w15:restartNumberingAfterBreak="0">
    <w:nsid w:val="457677A3"/>
    <w:multiLevelType w:val="multilevel"/>
    <w:tmpl w:val="E7D42B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BD8558E"/>
    <w:multiLevelType w:val="multilevel"/>
    <w:tmpl w:val="BD2AA3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FE253F"/>
    <w:multiLevelType w:val="multilevel"/>
    <w:tmpl w:val="457C02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773E6F"/>
    <w:multiLevelType w:val="multilevel"/>
    <w:tmpl w:val="EE04A4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669512C"/>
    <w:multiLevelType w:val="multilevel"/>
    <w:tmpl w:val="73167B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75F30C6"/>
    <w:multiLevelType w:val="multilevel"/>
    <w:tmpl w:val="8EB05FD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7" w15:restartNumberingAfterBreak="0">
    <w:nsid w:val="5E8D0D75"/>
    <w:multiLevelType w:val="multilevel"/>
    <w:tmpl w:val="F2345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A05219D"/>
    <w:multiLevelType w:val="multilevel"/>
    <w:tmpl w:val="70FC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CFA7014"/>
    <w:multiLevelType w:val="multilevel"/>
    <w:tmpl w:val="08C48D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D467023"/>
    <w:multiLevelType w:val="multilevel"/>
    <w:tmpl w:val="88303146"/>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1" w15:restartNumberingAfterBreak="0">
    <w:nsid w:val="7BAF3D9E"/>
    <w:multiLevelType w:val="multilevel"/>
    <w:tmpl w:val="33B653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8"/>
  </w:num>
  <w:num w:numId="4">
    <w:abstractNumId w:val="12"/>
  </w:num>
  <w:num w:numId="5">
    <w:abstractNumId w:val="11"/>
  </w:num>
  <w:num w:numId="6">
    <w:abstractNumId w:val="6"/>
  </w:num>
  <w:num w:numId="7">
    <w:abstractNumId w:val="0"/>
  </w:num>
  <w:num w:numId="8">
    <w:abstractNumId w:val="14"/>
  </w:num>
  <w:num w:numId="9">
    <w:abstractNumId w:val="4"/>
  </w:num>
  <w:num w:numId="10">
    <w:abstractNumId w:val="21"/>
  </w:num>
  <w:num w:numId="11">
    <w:abstractNumId w:val="17"/>
  </w:num>
  <w:num w:numId="12">
    <w:abstractNumId w:val="15"/>
  </w:num>
  <w:num w:numId="13">
    <w:abstractNumId w:val="7"/>
  </w:num>
  <w:num w:numId="14">
    <w:abstractNumId w:val="5"/>
  </w:num>
  <w:num w:numId="15">
    <w:abstractNumId w:val="3"/>
  </w:num>
  <w:num w:numId="16">
    <w:abstractNumId w:val="10"/>
  </w:num>
  <w:num w:numId="17">
    <w:abstractNumId w:val="18"/>
  </w:num>
  <w:num w:numId="18">
    <w:abstractNumId w:val="20"/>
  </w:num>
  <w:num w:numId="19">
    <w:abstractNumId w:val="16"/>
  </w:num>
  <w:num w:numId="20">
    <w:abstractNumId w:val="2"/>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E70"/>
    <w:rsid w:val="001505DB"/>
    <w:rsid w:val="00237CCB"/>
    <w:rsid w:val="002A4BE4"/>
    <w:rsid w:val="002E72CB"/>
    <w:rsid w:val="00381914"/>
    <w:rsid w:val="00394E70"/>
    <w:rsid w:val="006E2408"/>
    <w:rsid w:val="007C2972"/>
    <w:rsid w:val="007E2383"/>
    <w:rsid w:val="008148B8"/>
    <w:rsid w:val="00944AAC"/>
    <w:rsid w:val="009B0141"/>
    <w:rsid w:val="00A9299F"/>
    <w:rsid w:val="00AB3D28"/>
    <w:rsid w:val="00AD639D"/>
    <w:rsid w:val="00B12963"/>
    <w:rsid w:val="00B7067F"/>
    <w:rsid w:val="00BC4650"/>
    <w:rsid w:val="00BE0320"/>
    <w:rsid w:val="00C36F31"/>
    <w:rsid w:val="00D17C6E"/>
    <w:rsid w:val="00D3212C"/>
    <w:rsid w:val="00F60F59"/>
    <w:rsid w:val="00FA3125"/>
    <w:rsid w:val="00FF1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2A8F9"/>
  <w15:docId w15:val="{629CEF3A-7F08-4C15-AD32-9411F942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360"/>
      <w:ind w:left="567" w:hanging="567"/>
      <w:outlineLvl w:val="0"/>
    </w:pPr>
    <w:rPr>
      <w:b/>
      <w:smallCaps/>
      <w:u w:val="single"/>
    </w:rPr>
  </w:style>
  <w:style w:type="paragraph" w:styleId="Titre2">
    <w:name w:val="heading 2"/>
    <w:basedOn w:val="Normal"/>
    <w:next w:val="Normal"/>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pPr>
      <w:keepNext/>
      <w:keepLines/>
      <w:spacing w:before="360" w:after="240"/>
      <w:ind w:left="851" w:hanging="851"/>
      <w:outlineLvl w:val="2"/>
    </w:pPr>
    <w:rPr>
      <w:b/>
      <w:u w:val="single"/>
    </w:rPr>
  </w:style>
  <w:style w:type="paragraph" w:styleId="Titre4">
    <w:name w:val="heading 4"/>
    <w:basedOn w:val="Normal"/>
    <w:next w:val="Normal"/>
    <w:pPr>
      <w:keepNext/>
      <w:keepLines/>
      <w:spacing w:before="360" w:after="240"/>
      <w:ind w:left="851" w:hanging="851"/>
      <w:outlineLvl w:val="3"/>
    </w:pPr>
    <w:rPr>
      <w:b/>
      <w:u w:val="single"/>
    </w:rPr>
  </w:style>
  <w:style w:type="paragraph" w:styleId="Titre5">
    <w:name w:val="heading 5"/>
    <w:basedOn w:val="Normal"/>
    <w:next w:val="Normal"/>
    <w:pPr>
      <w:outlineLvl w:val="4"/>
    </w:pPr>
    <w:rPr>
      <w:sz w:val="16"/>
      <w:szCs w:val="16"/>
    </w:rPr>
  </w:style>
  <w:style w:type="paragraph" w:styleId="Titre6">
    <w:name w:val="heading 6"/>
    <w:basedOn w:val="Normal"/>
    <w:next w:val="Normal"/>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spacing w:before="240" w:after="120"/>
    </w:pPr>
    <w:rPr>
      <w:rFonts w:ascii="Century Gothic" w:eastAsia="Century Gothic" w:hAnsi="Century Gothic" w:cs="Century Gothic"/>
      <w:sz w:val="28"/>
      <w:szCs w:val="28"/>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48" w:type="dxa"/>
        <w:bottom w:w="55" w:type="dxa"/>
        <w:right w:w="5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386</Words>
  <Characters>2123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21</cp:revision>
  <dcterms:created xsi:type="dcterms:W3CDTF">2021-07-21T17:21:00Z</dcterms:created>
  <dcterms:modified xsi:type="dcterms:W3CDTF">2021-11-24T10:39:00Z</dcterms:modified>
</cp:coreProperties>
</file>